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93" w:rsidRPr="002C080B" w:rsidRDefault="00BD7E93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ПРИЛОЖЕНИЕ 8</w:t>
      </w:r>
    </w:p>
    <w:p w:rsidR="00BD7E93" w:rsidRPr="002C080B" w:rsidRDefault="00BD7E93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 xml:space="preserve">к </w:t>
      </w:r>
      <w:r w:rsidR="00204740">
        <w:rPr>
          <w:rFonts w:eastAsia="Lucida Sans Unicode"/>
          <w:color w:val="000000"/>
          <w:kern w:val="2"/>
        </w:rPr>
        <w:t>р</w:t>
      </w:r>
      <w:r w:rsidRPr="002254EB">
        <w:rPr>
          <w:rFonts w:eastAsia="Lucida Sans Unicode"/>
          <w:color w:val="000000"/>
          <w:kern w:val="2"/>
        </w:rPr>
        <w:t>ешению Совета депутатов</w:t>
      </w: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Богородского муниципального</w:t>
      </w: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округа Нижегородской области</w:t>
      </w:r>
    </w:p>
    <w:p w:rsidR="00BD7E93" w:rsidRPr="002C080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</w:t>
      </w:r>
      <w:r w:rsidR="00BD7E93"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="00BD7E93"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D7E93" w:rsidRPr="002C080B" w:rsidRDefault="00BD7E93" w:rsidP="00F71FA5">
      <w:pPr>
        <w:jc w:val="center"/>
        <w:rPr>
          <w:b/>
          <w:color w:val="000000"/>
        </w:rPr>
      </w:pPr>
    </w:p>
    <w:p w:rsidR="00BD7E93" w:rsidRPr="002C080B" w:rsidRDefault="00BD7E93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Перечень публичных нормативных обязательств, подлежащих исполнению за счет средств бюджета на 20</w:t>
      </w:r>
      <w:r w:rsidR="00C2390B" w:rsidRPr="002C080B">
        <w:rPr>
          <w:b/>
          <w:color w:val="000000"/>
        </w:rPr>
        <w:t>2</w:t>
      </w:r>
      <w:r w:rsidR="002254EB">
        <w:rPr>
          <w:b/>
          <w:color w:val="000000"/>
        </w:rPr>
        <w:t>1</w:t>
      </w:r>
      <w:r w:rsidRPr="002C080B">
        <w:rPr>
          <w:b/>
          <w:color w:val="000000"/>
        </w:rPr>
        <w:t xml:space="preserve"> год и на плановый период 202</w:t>
      </w:r>
      <w:r w:rsidR="002254EB">
        <w:rPr>
          <w:b/>
          <w:color w:val="000000"/>
        </w:rPr>
        <w:t>2</w:t>
      </w:r>
      <w:r w:rsidRPr="002C080B">
        <w:rPr>
          <w:b/>
          <w:color w:val="000000"/>
        </w:rPr>
        <w:t xml:space="preserve"> и 202</w:t>
      </w:r>
      <w:r w:rsidR="002254EB">
        <w:rPr>
          <w:b/>
          <w:color w:val="000000"/>
        </w:rPr>
        <w:t>3</w:t>
      </w:r>
      <w:r w:rsidRPr="002C080B">
        <w:rPr>
          <w:b/>
          <w:color w:val="000000"/>
        </w:rPr>
        <w:t xml:space="preserve"> годов</w:t>
      </w:r>
    </w:p>
    <w:p w:rsidR="00BD7E93" w:rsidRPr="002C080B" w:rsidRDefault="00BD7E93" w:rsidP="00F71FA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D7E93" w:rsidRPr="002C080B" w:rsidRDefault="00BD7E93" w:rsidP="00F71FA5">
      <w:pPr>
        <w:jc w:val="right"/>
        <w:rPr>
          <w:color w:val="000000"/>
        </w:rPr>
      </w:pPr>
      <w:r w:rsidRPr="002C080B">
        <w:rPr>
          <w:color w:val="000000"/>
        </w:rPr>
        <w:t>(тыс. руб.)</w:t>
      </w:r>
    </w:p>
    <w:tbl>
      <w:tblPr>
        <w:tblW w:w="9384" w:type="dxa"/>
        <w:tblLook w:val="04A0" w:firstRow="1" w:lastRow="0" w:firstColumn="1" w:lastColumn="0" w:noHBand="0" w:noVBand="1"/>
      </w:tblPr>
      <w:tblGrid>
        <w:gridCol w:w="368"/>
        <w:gridCol w:w="3588"/>
        <w:gridCol w:w="2830"/>
        <w:gridCol w:w="766"/>
        <w:gridCol w:w="916"/>
        <w:gridCol w:w="916"/>
      </w:tblGrid>
      <w:tr w:rsidR="006706CF" w:rsidTr="0050630D">
        <w:trPr>
          <w:trHeight w:val="20"/>
          <w:tblHeader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Нормативный правовой акт Бог</w:t>
            </w:r>
            <w:r>
              <w:rPr>
                <w:b/>
                <w:color w:val="000000"/>
                <w:sz w:val="20"/>
                <w:szCs w:val="20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родского муниципального округа Нижегородской области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Льготы и социальные в</w:t>
            </w:r>
            <w:r>
              <w:rPr>
                <w:b/>
                <w:color w:val="000000"/>
                <w:sz w:val="20"/>
                <w:szCs w:val="20"/>
              </w:rPr>
              <w:t>ы</w:t>
            </w:r>
            <w:r>
              <w:rPr>
                <w:b/>
                <w:color w:val="000000"/>
                <w:sz w:val="20"/>
                <w:szCs w:val="20"/>
              </w:rPr>
              <w:t>платы, устанавливаемые нормативными правовыми актами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района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 от 24.05.2012 № 58 «О мерах социальной поддержки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дельных категорий граждан прожив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ющих на территории Богородского муниципального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 (С учетом изменений, внесенных Решениями Земского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брания Богородского муниципального района Нижегородской области от 20.02.2014 № 15, от 03.12.2015 № 35, от 16.02.2017 №20, от 28.12.2017 №153, от 20.09.2018 №68, от 15.08.2019 №77, от 14.05.2020 №53, от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13.08.2020 №70)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 Единовременная выплата малоимущим семьям или 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лоимущим одиноко прож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вающим гражданам, а также гражданам, оказавшимся в трудной жизненной ситуации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 Единовременная выплата гражданам, находящимся в трудной жизненной ситуации, в целях софинансирования расходов на восстановление и ремонт жилья, а также 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тельство </w:t>
            </w:r>
            <w:proofErr w:type="spellStart"/>
            <w:r>
              <w:rPr>
                <w:color w:val="000000"/>
                <w:sz w:val="20"/>
                <w:szCs w:val="20"/>
              </w:rPr>
              <w:t>пристроя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 жилому дому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1.3. Единовременная выплата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 проведение капитального ремонта жилого помещения инвалидам и ветеранам Вел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кой Отечественной войны 1941-1945 годов, не имеющим права на обеспечение жильем по основаниям, установле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ным Федеральным законом от 12 января 1995 года N 5-ФЗ «О ветеранах»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73</w:t>
            </w:r>
            <w:r>
              <w:rPr>
                <w:b/>
                <w:color w:val="000000"/>
                <w:sz w:val="20"/>
                <w:szCs w:val="20"/>
              </w:rPr>
              <w:t>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73</w:t>
            </w:r>
            <w:r>
              <w:rPr>
                <w:b/>
                <w:color w:val="000000"/>
                <w:sz w:val="20"/>
                <w:szCs w:val="20"/>
              </w:rPr>
              <w:t>5,50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района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 от 15.02.2018 № 11 «Об установлении дополнительных мер социальной поддержки отдельным гражданам Богородского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 xml:space="preserve">ного района Нижегородской области»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 Ежемесячная выплата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района Нижегородской области от 27.10.2010 № 105 «О предоставл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нии ежемесячной выплаты семьям, имеющим пятерых и более детей на территории Богородского района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области» (С учетом 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менений, внесенных Решением Зе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ского собрания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сти от 25.08.2011 № 91, от 28.12.2017 </w:t>
            </w:r>
            <w:r>
              <w:rPr>
                <w:color w:val="000000"/>
                <w:sz w:val="20"/>
                <w:szCs w:val="20"/>
              </w:rPr>
              <w:lastRenderedPageBreak/>
              <w:t>№153)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3.1.Ежемесячная выплата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300,60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района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 от 27.03.2014 № 29 «О дополнительных мерах социальной поддержки (социальной помощи) 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лоимущих граждан при газификации домовладений»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 Единовременная выплата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района Нижегородской области от 28.08.2009 № 82 «Об утверждении Положения о присвоении звания «П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четный гражданин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области», состава комиссии по присвоению звания «П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четный гражданин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области» (С учетом изменений, внесенных Решениями Земского собрания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 03.12.2009 № 157, от 26.06.2012        № 78, от 14.12.2012 № 155, от 18.06.2014 № 48, от 18.02.2016 № 20, от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27.04.2017 № 55, от 22.06.2017 №59, от 14.05.2020 №54)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5.1.Ежемесячная выплата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5.2.Единовременная выплата на санаторно-курортное леч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5.3.Компнсация за проезд в автомобильном транспорте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5.4.Единовременные и др. выплаты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891,00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Земского собрания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района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 от 20.02.2014 № 14 «Об утверждении Положения о ежем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сячной выплате неработающим пенс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онерам, удостоенным за высокие пок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затели в труде указами Президента Российской Федерации звания «З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служенный работник» (С учетом изм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нений, внесенных Решением Земского собрания Богородского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района Нижегородской области от 28.12.2017 №153)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6.1.Ежемесячные выплаты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162,00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городской Думы г. Богородск Богородского района Нижегородской области от 03.06.2008 № 34 «Об утверждении Положения о присвоении звания «Почетный гражданин города Богородска» (С учетом изменений, внесенных Решениями городской Д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мы г. Богородск Богородского района Нижегородской области от 07.07.2009 №44, от 14.12.2012 №68, от 22.06.2015 №23, от 15.03.2016 №6)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 Ежемесячное пособие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 Единовременная дене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ная выплата ко Дню города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7.3. Выплата на санаторно-курортное лечение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7.4. Компенсация за проезд в автомобильном транспорте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105,00</w:t>
            </w:r>
          </w:p>
        </w:tc>
      </w:tr>
      <w:tr w:rsidR="006706CF" w:rsidTr="0050630D">
        <w:trPr>
          <w:trHeight w:val="2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1306,</w:t>
            </w:r>
          </w:p>
          <w:p w:rsidR="006706CF" w:rsidRDefault="006706CF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320</w:t>
            </w:r>
            <w:r>
              <w:rPr>
                <w:b/>
                <w:color w:val="000000"/>
                <w:sz w:val="20"/>
                <w:szCs w:val="20"/>
              </w:rPr>
              <w:t>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6CF" w:rsidRDefault="006706CF" w:rsidP="005063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320</w:t>
            </w:r>
            <w:r>
              <w:rPr>
                <w:b/>
                <w:color w:val="000000"/>
                <w:sz w:val="20"/>
                <w:szCs w:val="20"/>
              </w:rPr>
              <w:t>,10</w:t>
            </w:r>
          </w:p>
        </w:tc>
      </w:tr>
    </w:tbl>
    <w:p w:rsidR="002254EB" w:rsidRPr="002C080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  <w:sz w:val="28"/>
          <w:szCs w:val="28"/>
        </w:rPr>
      </w:pPr>
      <w:bookmarkStart w:id="0" w:name="_GoBack"/>
      <w:bookmarkEnd w:id="0"/>
      <w:r w:rsidRPr="002C080B">
        <w:rPr>
          <w:rFonts w:eastAsia="Lucida Sans Unicode"/>
          <w:color w:val="000000"/>
          <w:kern w:val="2"/>
          <w:sz w:val="28"/>
          <w:szCs w:val="28"/>
        </w:rPr>
        <w:t xml:space="preserve"> </w:t>
      </w:r>
    </w:p>
    <w:p w:rsidR="00260423" w:rsidRPr="002C080B" w:rsidRDefault="00B26F1C" w:rsidP="00520E5E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204740">
      <w:headerReference w:type="default" r:id="rId9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466" w:rsidRDefault="00FA3466">
      <w:r>
        <w:separator/>
      </w:r>
    </w:p>
  </w:endnote>
  <w:endnote w:type="continuationSeparator" w:id="0">
    <w:p w:rsidR="00FA3466" w:rsidRDefault="00FA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466" w:rsidRDefault="00FA3466">
      <w:r>
        <w:separator/>
      </w:r>
    </w:p>
  </w:footnote>
  <w:footnote w:type="continuationSeparator" w:id="0">
    <w:p w:rsidR="00FA3466" w:rsidRDefault="00FA3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47DCB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20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475E0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4108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E5E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6CF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62B4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466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142D-661A-4DE7-BD22-521EC8DD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4797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3</cp:revision>
  <cp:lastPrinted>2020-11-25T13:06:00Z</cp:lastPrinted>
  <dcterms:created xsi:type="dcterms:W3CDTF">2021-03-25T09:57:00Z</dcterms:created>
  <dcterms:modified xsi:type="dcterms:W3CDTF">2021-12-21T08:33:00Z</dcterms:modified>
</cp:coreProperties>
</file>